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pPr>
      <w:r w:rsidDel="00000000" w:rsidR="00000000" w:rsidRPr="00000000">
        <w:rPr>
          <w:rtl w:val="0"/>
        </w:rPr>
      </w:r>
    </w:p>
    <w:tbl>
      <w:tblPr>
        <w:tblStyle w:val="Table1"/>
        <w:tblW w:w="9606.0" w:type="dxa"/>
        <w:jc w:val="left"/>
        <w:tblInd w:w="10.0" w:type="dxa"/>
        <w:tblBorders>
          <w:top w:color="d5d5d5" w:space="0" w:sz="4" w:val="single"/>
          <w:bottom w:color="d5d5d5" w:space="0" w:sz="4" w:val="single"/>
        </w:tblBorders>
        <w:tblLayout w:type="fixed"/>
        <w:tblLook w:val="0000"/>
      </w:tblPr>
      <w:tblGrid>
        <w:gridCol w:w="7685"/>
        <w:gridCol w:w="1921"/>
        <w:tblGridChange w:id="0">
          <w:tblGrid>
            <w:gridCol w:w="7685"/>
            <w:gridCol w:w="1921"/>
          </w:tblGrid>
        </w:tblGridChange>
      </w:tblGrid>
      <w:tr>
        <w:trPr>
          <w:cantSplit w:val="0"/>
          <w:tblHeader w:val="0"/>
        </w:trPr>
        <w:tc>
          <w:tcPr>
            <w:shd w:fill="efefef" w:val="clear"/>
            <w:tcMar>
              <w:bottom w:w="0.0" w:type="dxa"/>
            </w:tcMar>
          </w:tcPr>
          <w:p w:rsidR="00000000" w:rsidDel="00000000" w:rsidP="00000000" w:rsidRDefault="00000000" w:rsidRPr="00000000" w14:paraId="00000002">
            <w:pPr>
              <w:spacing w:after="0" w:lineRule="auto"/>
              <w:rPr/>
            </w:pPr>
            <w:r w:rsidDel="00000000" w:rsidR="00000000" w:rsidRPr="00000000">
              <w:rPr>
                <w:rFonts w:ascii="Lato Black" w:cs="Lato Black" w:eastAsia="Lato Black" w:hAnsi="Lato Black"/>
                <w:b w:val="1"/>
                <w:rtl w:val="0"/>
              </w:rPr>
              <w:t xml:space="preserve">Policy 402.06: Employee Outside Employment</w:t>
            </w:r>
            <w:r w:rsidDel="00000000" w:rsidR="00000000" w:rsidRPr="00000000">
              <w:rPr>
                <w:rtl w:val="0"/>
              </w:rPr>
            </w:r>
          </w:p>
        </w:tc>
        <w:tc>
          <w:tcPr>
            <w:shd w:fill="efefef" w:val="clear"/>
            <w:tcMar>
              <w:bottom w:w="0.0" w:type="dxa"/>
            </w:tcMar>
          </w:tcPr>
          <w:p w:rsidR="00000000" w:rsidDel="00000000" w:rsidP="00000000" w:rsidRDefault="00000000" w:rsidRPr="00000000" w14:paraId="00000003">
            <w:pPr>
              <w:rPr/>
            </w:pPr>
            <w:r w:rsidDel="00000000" w:rsidR="00000000" w:rsidRPr="00000000">
              <w:rPr>
                <w:rFonts w:ascii="Lato Black" w:cs="Lato Black" w:eastAsia="Lato Black" w:hAnsi="Lato Black"/>
                <w:b w:val="1"/>
                <w:rtl w:val="0"/>
              </w:rPr>
              <w:t xml:space="preserve">Status: </w:t>
            </w:r>
            <w:r w:rsidDel="00000000" w:rsidR="00000000" w:rsidRPr="00000000">
              <w:rPr>
                <w:rFonts w:ascii="Lato" w:cs="Lato" w:eastAsia="Lato" w:hAnsi="Lato"/>
                <w:rtl w:val="0"/>
              </w:rPr>
              <w:t xml:space="preserve">ADOPTED</w:t>
            </w:r>
            <w:r w:rsidDel="00000000" w:rsidR="00000000" w:rsidRPr="00000000">
              <w:rPr>
                <w:rtl w:val="0"/>
              </w:rPr>
            </w:r>
          </w:p>
        </w:tc>
      </w:tr>
      <w:tr>
        <w:trPr>
          <w:cantSplit w:val="0"/>
          <w:tblHeader w:val="0"/>
        </w:trPr>
        <w:tc>
          <w:tcPr>
            <w:shd w:fill="efefef" w:val="clear"/>
            <w:tcMar>
              <w:bottom w:w="0.0" w:type="dxa"/>
            </w:tcMar>
          </w:tcPr>
          <w:p w:rsidR="00000000" w:rsidDel="00000000" w:rsidP="00000000" w:rsidRDefault="00000000" w:rsidRPr="00000000" w14:paraId="00000004">
            <w:pPr>
              <w:rPr/>
            </w:pPr>
            <w:r w:rsidDel="00000000" w:rsidR="00000000" w:rsidRPr="00000000">
              <w:rPr>
                <w:rFonts w:ascii="Lato Black" w:cs="Lato Black" w:eastAsia="Lato Black" w:hAnsi="Lato Black"/>
                <w:b w:val="1"/>
                <w:sz w:val="18"/>
                <w:szCs w:val="18"/>
                <w:rtl w:val="0"/>
              </w:rPr>
              <w:t xml:space="preserve">Original Adopted Date: </w:t>
            </w:r>
            <w:r w:rsidDel="00000000" w:rsidR="00000000" w:rsidRPr="00000000">
              <w:rPr>
                <w:rFonts w:ascii="Lato" w:cs="Lato" w:eastAsia="Lato" w:hAnsi="Lato"/>
                <w:sz w:val="18"/>
                <w:szCs w:val="18"/>
                <w:rtl w:val="0"/>
              </w:rPr>
              <w:t xml:space="preserve">01/17/2024</w:t>
            </w:r>
            <w:r w:rsidDel="00000000" w:rsidR="00000000" w:rsidRPr="00000000">
              <w:rPr>
                <w:rFonts w:ascii="Lato Black" w:cs="Lato Black" w:eastAsia="Lato Black" w:hAnsi="Lato Black"/>
                <w:b w:val="1"/>
                <w:sz w:val="18"/>
                <w:szCs w:val="18"/>
                <w:rtl w:val="0"/>
              </w:rPr>
              <w:t xml:space="preserve"> | Revised Date: </w:t>
            </w:r>
            <w:r w:rsidDel="00000000" w:rsidR="00000000" w:rsidRPr="00000000">
              <w:rPr>
                <w:rFonts w:ascii="Lato" w:cs="Lato" w:eastAsia="Lato" w:hAnsi="Lato"/>
                <w:sz w:val="18"/>
                <w:szCs w:val="18"/>
                <w:rtl w:val="0"/>
              </w:rPr>
              <w:t xml:space="preserve">01/17/2024</w:t>
            </w:r>
            <w:r w:rsidDel="00000000" w:rsidR="00000000" w:rsidRPr="00000000">
              <w:rPr>
                <w:rFonts w:ascii="Lato Black" w:cs="Lato Black" w:eastAsia="Lato Black" w:hAnsi="Lato Black"/>
                <w:b w:val="1"/>
                <w:sz w:val="18"/>
                <w:szCs w:val="18"/>
                <w:rtl w:val="0"/>
              </w:rPr>
              <w:t xml:space="preserve"> | Reviewed Date: </w:t>
            </w:r>
            <w:r w:rsidDel="00000000" w:rsidR="00000000" w:rsidRPr="00000000">
              <w:rPr>
                <w:rFonts w:ascii="Lato" w:cs="Lato" w:eastAsia="Lato" w:hAnsi="Lato"/>
                <w:sz w:val="18"/>
                <w:szCs w:val="18"/>
                <w:rtl w:val="0"/>
              </w:rPr>
              <w:t xml:space="preserve">01/17/2024</w:t>
            </w:r>
            <w:r w:rsidDel="00000000" w:rsidR="00000000" w:rsidRPr="00000000">
              <w:rPr>
                <w:rtl w:val="0"/>
              </w:rPr>
            </w:r>
          </w:p>
        </w:tc>
        <w:tc>
          <w:tcPr>
            <w:shd w:fill="efefef" w:val="clear"/>
            <w:tcMar>
              <w:bottom w:w="0.0" w:type="dxa"/>
            </w:tcMar>
          </w:tcPr>
          <w:p w:rsidR="00000000" w:rsidDel="00000000" w:rsidP="00000000" w:rsidRDefault="00000000" w:rsidRPr="00000000" w14:paraId="00000005">
            <w:pPr>
              <w:spacing w:after="0" w:lineRule="auto"/>
              <w:rPr/>
            </w:pPr>
            <w:r w:rsidDel="00000000" w:rsidR="00000000" w:rsidRPr="00000000">
              <w:rPr>
                <w:rtl w:val="0"/>
              </w:rPr>
            </w:r>
          </w:p>
        </w:tc>
      </w:tr>
    </w:tbl>
    <w:p w:rsidR="00000000" w:rsidDel="00000000" w:rsidP="00000000" w:rsidRDefault="00000000" w:rsidRPr="00000000" w14:paraId="00000006">
      <w:pPr>
        <w:spacing w:after="30" w:lineRule="auto"/>
        <w:jc w:val="right"/>
        <w:rPr/>
      </w:pPr>
      <w:r w:rsidDel="00000000" w:rsidR="00000000" w:rsidRPr="00000000">
        <w:rPr>
          <w:rtl w:val="0"/>
        </w:rPr>
      </w:r>
    </w:p>
    <w:p w:rsidR="00000000" w:rsidDel="00000000" w:rsidP="00000000" w:rsidRDefault="00000000" w:rsidRPr="00000000" w14:paraId="00000007">
      <w:pPr>
        <w:rPr>
          <w:rFonts w:ascii="Lato" w:cs="Lato" w:eastAsia="Lato" w:hAnsi="Lato"/>
        </w:rPr>
      </w:pPr>
      <w:bookmarkStart w:colFirst="0" w:colLast="0" w:name="_heading=h.gjdgxs" w:id="0"/>
      <w:bookmarkEnd w:id="0"/>
      <w:r w:rsidDel="00000000" w:rsidR="00000000" w:rsidRPr="00000000">
        <w:rPr>
          <w:rFonts w:ascii="Lato" w:cs="Lato" w:eastAsia="Lato" w:hAnsi="Lato"/>
          <w:rtl w:val="0"/>
        </w:rPr>
        <w:t xml:space="preserve">The Tri-County board believes the primary responsibility of employees is to the duties of their position within the school district as outlined in their job description.  The board considers an employee's duties as part of a regular, full-time position as full-time employment.  The board expects such employees to give the responsibilities of their positions in the school district precedence over any other employment.</w:t>
        <w:br w:type="textWrapping"/>
        <w:br w:type="textWrapping"/>
        <w:t xml:space="preserve">It is the responsibility of the superintendent to counsel employees, whether full-time or part-time, if, in the judgment of the superintendent and the employee's immediate supervisor, the employee's outside employment interferes with the performance of the employee's duties required in the employee's position within the school district.</w:t>
        <w:br w:type="textWrapping"/>
        <w:br w:type="textWrapping"/>
        <w:t xml:space="preserve">The board may request the employee to cease the outside employment as a condition of continued employment with the school district.</w:t>
        <w:br w:type="textWrapping"/>
        <w:br w:type="textWrapping"/>
        <w:br w:type="textWrapping"/>
        <w:br w:type="textWrapping"/>
        <w:br w:type="textWrapping"/>
        <w:t xml:space="preserve">  </w:t>
      </w:r>
    </w:p>
    <w:tbl>
      <w:tblPr>
        <w:tblStyle w:val="Table2"/>
        <w:tblW w:w="10500.0" w:type="dxa"/>
        <w:jc w:val="left"/>
        <w:tblLayout w:type="fixed"/>
        <w:tblLook w:val="0400"/>
      </w:tblPr>
      <w:tblGrid>
        <w:gridCol w:w="1875"/>
        <w:gridCol w:w="8625"/>
        <w:tblGridChange w:id="0">
          <w:tblGrid>
            <w:gridCol w:w="1875"/>
            <w:gridCol w:w="8625"/>
          </w:tblGrid>
        </w:tblGridChange>
      </w:tblGrid>
      <w:tr>
        <w:trPr>
          <w:cantSplit w:val="0"/>
          <w:tblHeader w:val="0"/>
        </w:trPr>
        <w:tc>
          <w:tcPr/>
          <w:p w:rsidR="00000000" w:rsidDel="00000000" w:rsidP="00000000" w:rsidRDefault="00000000" w:rsidRPr="00000000" w14:paraId="00000008">
            <w:pPr>
              <w:rPr>
                <w:rFonts w:ascii="Lato" w:cs="Lato" w:eastAsia="Lato" w:hAnsi="Lato"/>
              </w:rPr>
            </w:pPr>
            <w:r w:rsidDel="00000000" w:rsidR="00000000" w:rsidRPr="00000000">
              <w:rPr>
                <w:rFonts w:ascii="Lato" w:cs="Lato" w:eastAsia="Lato" w:hAnsi="Lato"/>
                <w:rtl w:val="0"/>
              </w:rPr>
              <w:t xml:space="preserve">Legal Reference:</w:t>
            </w:r>
          </w:p>
        </w:tc>
        <w:tc>
          <w:tcPr/>
          <w:p w:rsidR="00000000" w:rsidDel="00000000" w:rsidP="00000000" w:rsidRDefault="00000000" w:rsidRPr="00000000" w14:paraId="00000009">
            <w:pPr>
              <w:rPr>
                <w:rFonts w:ascii="Lato" w:cs="Lato" w:eastAsia="Lato" w:hAnsi="Lato"/>
              </w:rPr>
            </w:pPr>
            <w:r w:rsidDel="00000000" w:rsidR="00000000" w:rsidRPr="00000000">
              <w:rPr>
                <w:rFonts w:ascii="Lato" w:cs="Lato" w:eastAsia="Lato" w:hAnsi="Lato"/>
                <w:rtl w:val="0"/>
              </w:rPr>
              <w:t xml:space="preserve">Iowa Code §§ 20.7; 279.8. </w:t>
            </w:r>
          </w:p>
        </w:tc>
      </w:tr>
    </w:tbl>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Bdr>
          <w:bottom w:color="000000" w:space="1" w:sz="5" w:val="single"/>
        </w:pBdr>
        <w:rPr/>
      </w:pPr>
      <w:r w:rsidDel="00000000" w:rsidR="00000000" w:rsidRPr="00000000">
        <w:rPr>
          <w:rtl w:val="0"/>
        </w:rPr>
      </w:r>
    </w:p>
    <w:tbl>
      <w:tblPr>
        <w:tblStyle w:val="Table3"/>
        <w:tblW w:w="9993.0" w:type="dxa"/>
        <w:jc w:val="left"/>
        <w:tblInd w:w="10.0" w:type="dxa"/>
        <w:tblLayout w:type="fixed"/>
        <w:tblLook w:val="0000"/>
      </w:tblPr>
      <w:tblGrid>
        <w:gridCol w:w="4023"/>
        <w:gridCol w:w="5970"/>
        <w:tblGridChange w:id="0">
          <w:tblGrid>
            <w:gridCol w:w="4023"/>
            <w:gridCol w:w="5970"/>
          </w:tblGrid>
        </w:tblGridChange>
      </w:tblGrid>
      <w:tr>
        <w:trPr>
          <w:cantSplit w:val="0"/>
          <w:tblHeader w:val="0"/>
        </w:trPr>
        <w:tc>
          <w:tcPr>
            <w:tcMar>
              <w:top w:w="0.0" w:type="dxa"/>
              <w:bottom w:w="0.0" w:type="dxa"/>
            </w:tcMar>
          </w:tcPr>
          <w:p w:rsidR="00000000" w:rsidDel="00000000" w:rsidP="00000000" w:rsidRDefault="00000000" w:rsidRPr="00000000" w14:paraId="0000000C">
            <w:pPr>
              <w:spacing w:after="0" w:lineRule="auto"/>
              <w:rPr/>
            </w:pPr>
            <w:r w:rsidDel="00000000" w:rsidR="00000000" w:rsidRPr="00000000">
              <w:rPr>
                <w:rFonts w:ascii="Lato Black" w:cs="Lato Black" w:eastAsia="Lato Black" w:hAnsi="Lato Black"/>
                <w:b w:val="1"/>
                <w:rtl w:val="0"/>
              </w:rPr>
              <w:t xml:space="preserve">I.C. Iowa Code</w:t>
            </w:r>
            <w:r w:rsidDel="00000000" w:rsidR="00000000" w:rsidRPr="00000000">
              <w:rPr>
                <w:rtl w:val="0"/>
              </w:rPr>
            </w:r>
          </w:p>
        </w:tc>
        <w:tc>
          <w:tcPr>
            <w:tcMar>
              <w:top w:w="0.0" w:type="dxa"/>
              <w:bottom w:w="0.0" w:type="dxa"/>
            </w:tcMar>
          </w:tcPr>
          <w:p w:rsidR="00000000" w:rsidDel="00000000" w:rsidP="00000000" w:rsidRDefault="00000000" w:rsidRPr="00000000" w14:paraId="0000000D">
            <w:pPr>
              <w:spacing w:after="0" w:lineRule="auto"/>
              <w:rPr/>
            </w:pPr>
            <w:r w:rsidDel="00000000" w:rsidR="00000000" w:rsidRPr="00000000">
              <w:rPr>
                <w:rFonts w:ascii="Lato Black" w:cs="Lato Black" w:eastAsia="Lato Black" w:hAnsi="Lato Black"/>
                <w:b w:val="1"/>
                <w:rtl w:val="0"/>
              </w:rPr>
              <w:t xml:space="preserve">Description</w:t>
            </w: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0E">
            <w:pPr>
              <w:spacing w:after="0" w:lineRule="auto"/>
              <w:rPr/>
            </w:pPr>
            <w:r w:rsidDel="00000000" w:rsidR="00000000" w:rsidRPr="00000000">
              <w:rPr>
                <w:rFonts w:ascii="Lato" w:cs="Lato" w:eastAsia="Lato" w:hAnsi="Lato"/>
                <w:rtl w:val="0"/>
              </w:rPr>
              <w:t xml:space="preserve">Iowa Code  § 20.7</w:t>
            </w:r>
            <w:r w:rsidDel="00000000" w:rsidR="00000000" w:rsidRPr="00000000">
              <w:rPr>
                <w:rtl w:val="0"/>
              </w:rPr>
            </w:r>
          </w:p>
        </w:tc>
        <w:tc>
          <w:tcPr>
            <w:tcMar>
              <w:top w:w="0.0" w:type="dxa"/>
              <w:bottom w:w="0.0" w:type="dxa"/>
            </w:tcMar>
          </w:tcPr>
          <w:p w:rsidR="00000000" w:rsidDel="00000000" w:rsidP="00000000" w:rsidRDefault="00000000" w:rsidRPr="00000000" w14:paraId="0000000F">
            <w:pPr>
              <w:rPr/>
            </w:pPr>
            <w:hyperlink r:id="rId7">
              <w:r w:rsidDel="00000000" w:rsidR="00000000" w:rsidRPr="00000000">
                <w:rPr>
                  <w:rFonts w:ascii="Lato" w:cs="Lato" w:eastAsia="Lato" w:hAnsi="Lato"/>
                  <w:color w:val="0563c1"/>
                  <w:u w:val="single"/>
                  <w:rtl w:val="0"/>
                </w:rPr>
                <w:t xml:space="preserve">Collective Bargaining - Public Employer Rights</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10">
            <w:pPr>
              <w:spacing w:after="0" w:lineRule="auto"/>
              <w:rPr/>
            </w:pPr>
            <w:r w:rsidDel="00000000" w:rsidR="00000000" w:rsidRPr="00000000">
              <w:rPr>
                <w:rFonts w:ascii="Lato" w:cs="Lato" w:eastAsia="Lato" w:hAnsi="Lato"/>
                <w:rtl w:val="0"/>
              </w:rPr>
              <w:t xml:space="preserve">Iowa Code  § 279.8</w:t>
            </w:r>
            <w:r w:rsidDel="00000000" w:rsidR="00000000" w:rsidRPr="00000000">
              <w:rPr>
                <w:rtl w:val="0"/>
              </w:rPr>
            </w:r>
          </w:p>
        </w:tc>
        <w:tc>
          <w:tcPr>
            <w:tcMar>
              <w:top w:w="0.0" w:type="dxa"/>
              <w:bottom w:w="0.0" w:type="dxa"/>
            </w:tcMar>
          </w:tcPr>
          <w:p w:rsidR="00000000" w:rsidDel="00000000" w:rsidP="00000000" w:rsidRDefault="00000000" w:rsidRPr="00000000" w14:paraId="00000011">
            <w:pPr>
              <w:rPr/>
            </w:pPr>
            <w:hyperlink r:id="rId8">
              <w:r w:rsidDel="00000000" w:rsidR="00000000" w:rsidRPr="00000000">
                <w:rPr>
                  <w:rFonts w:ascii="Lato" w:cs="Lato" w:eastAsia="Lato" w:hAnsi="Lato"/>
                  <w:color w:val="0563c1"/>
                  <w:u w:val="single"/>
                  <w:rtl w:val="0"/>
                </w:rPr>
                <w:t xml:space="preserve">Directors - General Rules - Bonds of Employees</w:t>
              </w:r>
            </w:hyperlink>
            <w:r w:rsidDel="00000000" w:rsidR="00000000" w:rsidRPr="00000000">
              <w:rPr>
                <w:rtl w:val="0"/>
              </w:rPr>
            </w:r>
          </w:p>
        </w:tc>
      </w:tr>
    </w:tbl>
    <w:p w:rsidR="00000000" w:rsidDel="00000000" w:rsidP="00000000" w:rsidRDefault="00000000" w:rsidRPr="00000000" w14:paraId="00000012">
      <w:pPr>
        <w:shd w:fill="f9f9f9" w:val="clear"/>
        <w:spacing w:line="480" w:lineRule="auto"/>
        <w:rPr>
          <w:rFonts w:ascii="Lato Black" w:cs="Lato Black" w:eastAsia="Lato Black" w:hAnsi="Lato Black"/>
          <w:b w:val="1"/>
        </w:rPr>
      </w:pPr>
      <w:r w:rsidDel="00000000" w:rsidR="00000000" w:rsidRPr="00000000">
        <w:rPr>
          <w:rFonts w:ascii="Lato Black" w:cs="Lato Black" w:eastAsia="Lato Black" w:hAnsi="Lato Black"/>
          <w:b w:val="1"/>
          <w:rtl w:val="0"/>
        </w:rPr>
        <w:t xml:space="preserve">Cross References</w:t>
      </w:r>
    </w:p>
    <w:tbl>
      <w:tblPr>
        <w:tblStyle w:val="Table4"/>
        <w:tblW w:w="9993.0" w:type="dxa"/>
        <w:jc w:val="left"/>
        <w:tblInd w:w="10.0" w:type="dxa"/>
        <w:tblLayout w:type="fixed"/>
        <w:tblLook w:val="0000"/>
      </w:tblPr>
      <w:tblGrid>
        <w:gridCol w:w="4023"/>
        <w:gridCol w:w="5970"/>
        <w:tblGridChange w:id="0">
          <w:tblGrid>
            <w:gridCol w:w="4023"/>
            <w:gridCol w:w="5970"/>
          </w:tblGrid>
        </w:tblGridChange>
      </w:tblGrid>
      <w:tr>
        <w:trPr>
          <w:cantSplit w:val="0"/>
          <w:tblHeader w:val="0"/>
        </w:trPr>
        <w:tc>
          <w:tcPr>
            <w:tcMar>
              <w:top w:w="0.0" w:type="dxa"/>
              <w:bottom w:w="0.0" w:type="dxa"/>
            </w:tcMar>
          </w:tcPr>
          <w:p w:rsidR="00000000" w:rsidDel="00000000" w:rsidP="00000000" w:rsidRDefault="00000000" w:rsidRPr="00000000" w14:paraId="00000013">
            <w:pPr>
              <w:spacing w:after="0" w:lineRule="auto"/>
              <w:rPr/>
            </w:pPr>
            <w:r w:rsidDel="00000000" w:rsidR="00000000" w:rsidRPr="00000000">
              <w:rPr>
                <w:rFonts w:ascii="Lato Black" w:cs="Lato Black" w:eastAsia="Lato Black" w:hAnsi="Lato Black"/>
                <w:b w:val="1"/>
                <w:rtl w:val="0"/>
              </w:rPr>
              <w:t xml:space="preserve">Code</w:t>
            </w:r>
            <w:r w:rsidDel="00000000" w:rsidR="00000000" w:rsidRPr="00000000">
              <w:rPr>
                <w:rtl w:val="0"/>
              </w:rPr>
            </w:r>
          </w:p>
        </w:tc>
        <w:tc>
          <w:tcPr>
            <w:tcMar>
              <w:top w:w="0.0" w:type="dxa"/>
              <w:bottom w:w="0.0" w:type="dxa"/>
            </w:tcMar>
          </w:tcPr>
          <w:p w:rsidR="00000000" w:rsidDel="00000000" w:rsidP="00000000" w:rsidRDefault="00000000" w:rsidRPr="00000000" w14:paraId="00000014">
            <w:pPr>
              <w:spacing w:after="0" w:lineRule="auto"/>
              <w:rPr/>
            </w:pPr>
            <w:r w:rsidDel="00000000" w:rsidR="00000000" w:rsidRPr="00000000">
              <w:rPr>
                <w:rFonts w:ascii="Lato Black" w:cs="Lato Black" w:eastAsia="Lato Black" w:hAnsi="Lato Black"/>
                <w:b w:val="1"/>
                <w:rtl w:val="0"/>
              </w:rPr>
              <w:t xml:space="preserve">Description</w:t>
            </w: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15">
            <w:pPr>
              <w:spacing w:after="0" w:lineRule="auto"/>
              <w:rPr/>
            </w:pPr>
            <w:r w:rsidDel="00000000" w:rsidR="00000000" w:rsidRPr="00000000">
              <w:rPr>
                <w:rFonts w:ascii="Lato" w:cs="Lato" w:eastAsia="Lato" w:hAnsi="Lato"/>
                <w:rtl w:val="0"/>
              </w:rPr>
              <w:t xml:space="preserve">401.02</w:t>
            </w:r>
            <w:r w:rsidDel="00000000" w:rsidR="00000000" w:rsidRPr="00000000">
              <w:rPr>
                <w:rtl w:val="0"/>
              </w:rPr>
            </w:r>
          </w:p>
        </w:tc>
        <w:tc>
          <w:tcPr>
            <w:tcMar>
              <w:top w:w="0.0" w:type="dxa"/>
              <w:bottom w:w="0.0" w:type="dxa"/>
            </w:tcMar>
          </w:tcPr>
          <w:p w:rsidR="00000000" w:rsidDel="00000000" w:rsidP="00000000" w:rsidRDefault="00000000" w:rsidRPr="00000000" w14:paraId="00000016">
            <w:pPr>
              <w:rPr/>
            </w:pPr>
            <w:hyperlink r:id="rId9">
              <w:r w:rsidDel="00000000" w:rsidR="00000000" w:rsidRPr="00000000">
                <w:rPr>
                  <w:rFonts w:ascii="Lato" w:cs="Lato" w:eastAsia="Lato" w:hAnsi="Lato"/>
                  <w:color w:val="0563c1"/>
                  <w:u w:val="single"/>
                  <w:rtl w:val="0"/>
                </w:rPr>
                <w:t xml:space="preserve">Employee Conflict of Interest</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17">
            <w:pPr>
              <w:spacing w:after="0" w:lineRule="auto"/>
              <w:rPr/>
            </w:pPr>
            <w:r w:rsidDel="00000000" w:rsidR="00000000" w:rsidRPr="00000000">
              <w:rPr>
                <w:rFonts w:ascii="Lato" w:cs="Lato" w:eastAsia="Lato" w:hAnsi="Lato"/>
                <w:rtl w:val="0"/>
              </w:rPr>
              <w:t xml:space="preserve">408.03</w:t>
            </w:r>
            <w:r w:rsidDel="00000000" w:rsidR="00000000" w:rsidRPr="00000000">
              <w:rPr>
                <w:rtl w:val="0"/>
              </w:rPr>
            </w:r>
          </w:p>
        </w:tc>
        <w:tc>
          <w:tcPr>
            <w:tcMar>
              <w:top w:w="0.0" w:type="dxa"/>
              <w:bottom w:w="0.0" w:type="dxa"/>
            </w:tcMar>
          </w:tcPr>
          <w:p w:rsidR="00000000" w:rsidDel="00000000" w:rsidP="00000000" w:rsidRDefault="00000000" w:rsidRPr="00000000" w14:paraId="00000018">
            <w:pPr>
              <w:rPr/>
            </w:pPr>
            <w:hyperlink r:id="rId10">
              <w:r w:rsidDel="00000000" w:rsidR="00000000" w:rsidRPr="00000000">
                <w:rPr>
                  <w:rFonts w:ascii="Lato" w:cs="Lato" w:eastAsia="Lato" w:hAnsi="Lato"/>
                  <w:color w:val="0563c1"/>
                  <w:u w:val="single"/>
                  <w:rtl w:val="0"/>
                </w:rPr>
                <w:t xml:space="preserve">Licensed Employee Tutoring</w:t>
              </w:r>
            </w:hyperlink>
            <w:r w:rsidDel="00000000" w:rsidR="00000000" w:rsidRPr="00000000">
              <w:rPr>
                <w:rtl w:val="0"/>
              </w:rPr>
            </w:r>
          </w:p>
        </w:tc>
      </w:tr>
    </w:tbl>
    <w:p w:rsidR="00000000" w:rsidDel="00000000" w:rsidP="00000000" w:rsidRDefault="00000000" w:rsidRPr="00000000" w14:paraId="00000019">
      <w:pPr>
        <w:rPr/>
      </w:pPr>
      <w:r w:rsidDel="00000000" w:rsidR="00000000" w:rsidRPr="00000000">
        <w:rPr>
          <w:rtl w:val="0"/>
        </w:rPr>
      </w:r>
    </w:p>
    <w:sectPr>
      <w:pgSz w:h="15840" w:w="12240" w:orient="portrait"/>
      <w:pgMar w:bottom="402" w:top="617" w:left="1434" w:right="12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Black">
    <w:embedBold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 w:type="dxa"/>
        <w:bottom w:w="0.0" w:type="dxa"/>
        <w:right w:w="10.0" w:type="dxa"/>
      </w:tblCellMar>
    </w:tblPr>
  </w:style>
  <w:style w:type="table" w:styleId="Table2">
    <w:basedOn w:val="TableNormal"/>
    <w:tblPr>
      <w:tblStyleRowBandSize w:val="1"/>
      <w:tblStyleColBandSize w:val="1"/>
      <w:tblCellMar>
        <w:top w:w="45.0" w:type="dxa"/>
        <w:left w:w="45.0" w:type="dxa"/>
        <w:bottom w:w="45.0" w:type="dxa"/>
        <w:right w:w="45.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simbli.eboardsolutions.com/Policy/ViewPolicy.aspx?S=36031104&amp;revid=slshdgyHwGx0LyDs8Ow47K5Cg==" TargetMode="External"/><Relationship Id="rId9" Type="http://schemas.openxmlformats.org/officeDocument/2006/relationships/hyperlink" Target="https://simbli.eboardsolutions.com/Policy/ViewPolicy.aspx?S=36031104&amp;revid=uEjSjjnuwrsdsVEquAPLRQ=="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egis.iowa.gov/docs/code/20.7.pdf" TargetMode="External"/><Relationship Id="rId8" Type="http://schemas.openxmlformats.org/officeDocument/2006/relationships/hyperlink" Target="https://www.legis.iowa.gov/docs/code/279.8.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LatoBlack-bold.ttf"/><Relationship Id="rId6" Type="http://schemas.openxmlformats.org/officeDocument/2006/relationships/font" Target="fonts/LatoBlac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lKupbKHW0wP5jB69B2fGxDAtDQ==">CgMxLjAyCGguZ2pkZ3hzOAByITF6akhXbzNRdVI0TlYwNDdWbi14YU1qRHdkdkttLTl0WA==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